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2.6.0 -->
  <w:body>
    <w:p>
      <w:pPr>
        <w:rPr>
          <w:lang w:val="en-US" w:eastAsia="en-US"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0pt">
            <v:imagedata r:id="rId4" o:title=""/>
          </v:shape>
        </w:pict>
      </w:r>
    </w:p>
    <w:p>
      <w:pPr>
        <w:keepNext w:val="0"/>
        <w:spacing w:before="360" w:after="0" w:line="260" w:lineRule="atLeast"/>
        <w:ind w:left="0" w:right="0" w:firstLine="0"/>
        <w:jc w:val="left"/>
        <w:rPr>
          <w:lang w:val="en-US" w:eastAsia="en-US" w:bidi="ar-SA"/>
        </w:rPr>
      </w:pPr>
      <w:r>
        <w:rPr>
          <w:rFonts w:ascii="Arial" w:eastAsia="Arial" w:hAnsi="Arial" w:cs="Arial"/>
          <w:b/>
          <w:color w:val="000000"/>
          <w:sz w:val="20"/>
          <w:lang w:val="en-US" w:eastAsia="en-US" w:bidi="ar-SA"/>
        </w:rPr>
        <w:t xml:space="preserve">User Name: </w:t>
      </w:r>
      <w:r>
        <w:rPr>
          <w:rFonts w:ascii="Arial" w:eastAsia="Arial" w:hAnsi="Arial" w:cs="Arial"/>
          <w:color w:val="000000"/>
          <w:sz w:val="20"/>
          <w:lang w:val="en-US" w:eastAsia="en-US" w:bidi="ar-SA"/>
        </w:rPr>
        <w:t>Lloyd Crawford</w:t>
      </w:r>
    </w:p>
    <w:p>
      <w:pPr>
        <w:keepNext w:val="0"/>
        <w:spacing w:before="80" w:after="0" w:line="240" w:lineRule="atLeast"/>
        <w:ind w:left="0" w:right="0" w:firstLine="0"/>
        <w:jc w:val="left"/>
        <w:rPr>
          <w:lang w:val="en-US" w:eastAsia="en-US" w:bidi="ar-SA"/>
        </w:rPr>
      </w:pPr>
      <w:r>
        <w:rPr>
          <w:rFonts w:ascii="Arial" w:eastAsia="Arial" w:hAnsi="Arial" w:cs="Arial"/>
          <w:b/>
          <w:color w:val="000000"/>
          <w:sz w:val="20"/>
          <w:lang w:val="en-US" w:eastAsia="en-US" w:bidi="ar-SA"/>
        </w:rPr>
        <w:t xml:space="preserve">Date and Time: </w:t>
      </w:r>
      <w:r>
        <w:rPr>
          <w:rFonts w:ascii="Arial" w:eastAsia="Arial" w:hAnsi="Arial" w:cs="Arial"/>
          <w:color w:val="000000"/>
          <w:sz w:val="20"/>
          <w:lang w:val="en-US" w:eastAsia="en-US" w:bidi="ar-SA"/>
        </w:rPr>
        <w:t>Wednesday, September 14, 2022 10:58:00 AM CDT</w:t>
      </w:r>
    </w:p>
    <w:p>
      <w:pPr>
        <w:keepNext w:val="0"/>
        <w:spacing w:before="80" w:after="0" w:line="240" w:lineRule="atLeast"/>
        <w:ind w:left="0" w:right="0" w:firstLine="0"/>
        <w:jc w:val="left"/>
        <w:rPr>
          <w:lang w:val="en-US" w:eastAsia="en-US" w:bidi="ar-SA"/>
        </w:rPr>
      </w:pPr>
      <w:r>
        <w:rPr>
          <w:rFonts w:ascii="Arial" w:eastAsia="Arial" w:hAnsi="Arial" w:cs="Arial"/>
          <w:b/>
          <w:color w:val="000000"/>
          <w:sz w:val="20"/>
          <w:lang w:val="en-US" w:eastAsia="en-US" w:bidi="ar-SA"/>
        </w:rPr>
        <w:t xml:space="preserve">Job Number: </w:t>
      </w:r>
      <w:r>
        <w:rPr>
          <w:rFonts w:ascii="Arial" w:eastAsia="Arial" w:hAnsi="Arial" w:cs="Arial"/>
          <w:color w:val="000000"/>
          <w:sz w:val="20"/>
          <w:lang w:val="en-US" w:eastAsia="en-US" w:bidi="ar-SA"/>
        </w:rPr>
        <w:t>179442915</w:t>
      </w:r>
    </w:p>
    <w:p>
      <w:pPr>
        <w:keepNext w:val="0"/>
        <w:spacing w:before="360" w:after="0" w:line="360" w:lineRule="atLeast"/>
        <w:ind w:left="0" w:right="0" w:firstLine="0"/>
        <w:jc w:val="both"/>
        <w:rPr>
          <w:lang w:val="en-US" w:eastAsia="en-US" w:bidi="ar-SA"/>
        </w:rPr>
      </w:pPr>
      <w:r>
        <w:rPr>
          <w:rFonts w:ascii="Arial" w:eastAsia="Arial" w:hAnsi="Arial" w:cs="Arial"/>
          <w:b/>
          <w:color w:val="000000"/>
          <w:lang w:val="en-US" w:eastAsia="en-US" w:bidi="ar-SA"/>
        </w:rPr>
        <w:t>Document (1)</w:t>
      </w:r>
    </w:p>
    <w:p>
      <w:pPr>
        <w:keepNext w:val="0"/>
        <w:spacing w:before="200" w:after="0" w:line="300" w:lineRule="atLeast"/>
        <w:ind w:left="440" w:right="0" w:hanging="290"/>
        <w:jc w:val="left"/>
        <w:rPr>
          <w:lang w:val="en-US" w:eastAsia="en-US" w:bidi="ar-SA"/>
        </w:rPr>
      </w:pPr>
      <w:r>
        <w:rPr>
          <w:rFonts w:ascii="Arial" w:eastAsia="Arial" w:hAnsi="Arial" w:cs="Arial"/>
          <w:sz w:val="20"/>
          <w:lang w:val="en-US" w:eastAsia="en-US" w:bidi="ar-SA"/>
        </w:rPr>
        <w:t>1.</w:t>
      </w:r>
      <w:hyperlink r:id="rId5" w:history="1">
        <w:r>
          <w:rPr>
            <w:rFonts w:ascii="Arial" w:eastAsia="Arial" w:hAnsi="Arial" w:cs="Arial"/>
            <w:color w:val="000000"/>
            <w:sz w:val="20"/>
            <w:u w:val="single"/>
            <w:shd w:val="clear" w:color="auto" w:fill="FFFFFF"/>
            <w:lang w:val="en-US" w:eastAsia="en-US" w:bidi="ar-SA"/>
          </w:rPr>
          <w:t xml:space="preserve"> </w:t>
        </w:r>
      </w:hyperlink>
      <w:hyperlink r:id="rId5" w:history="1">
        <w:r>
          <w:rPr>
            <w:rFonts w:ascii="Arial" w:eastAsia="Arial" w:hAnsi="Arial" w:cs="Arial"/>
            <w:i/>
            <w:color w:val="0077CC"/>
            <w:sz w:val="20"/>
            <w:u w:val="single"/>
            <w:shd w:val="clear" w:color="auto" w:fill="FFFFFF"/>
            <w:lang w:val="en-US" w:eastAsia="en-US" w:bidi="ar-SA"/>
          </w:rPr>
          <w:t>Tenn. Code Ann. § 2-10-132</w:t>
        </w:r>
      </w:hyperlink>
    </w:p>
    <w:p>
      <w:pPr>
        <w:keepNext w:val="0"/>
        <w:spacing w:before="80" w:after="0" w:line="240" w:lineRule="atLeast"/>
        <w:ind w:left="290" w:right="0" w:firstLine="0"/>
        <w:jc w:val="left"/>
        <w:rPr>
          <w:lang w:val="en-US" w:eastAsia="en-US" w:bidi="ar-SA"/>
        </w:rPr>
      </w:pPr>
      <w:r>
        <w:rPr>
          <w:rFonts w:ascii="Arial" w:eastAsia="Arial" w:hAnsi="Arial" w:cs="Arial"/>
          <w:b/>
          <w:color w:val="000000"/>
          <w:sz w:val="20"/>
          <w:lang w:val="en-US" w:eastAsia="en-US" w:bidi="ar-SA"/>
        </w:rPr>
        <w:t xml:space="preserve">Client/Matter: </w:t>
      </w:r>
      <w:r>
        <w:rPr>
          <w:rFonts w:ascii="Arial" w:eastAsia="Arial" w:hAnsi="Arial" w:cs="Arial"/>
          <w:color w:val="000000"/>
          <w:sz w:val="20"/>
          <w:lang w:val="en-US" w:eastAsia="en-US" w:bidi="ar-SA"/>
        </w:rPr>
        <w:t>-None-</w:t>
      </w:r>
    </w:p>
    <w:p>
      <w:pPr>
        <w:keepNext w:val="0"/>
        <w:spacing w:before="80" w:after="0" w:line="240" w:lineRule="atLeast"/>
        <w:ind w:left="290" w:right="0" w:firstLine="0"/>
        <w:jc w:val="left"/>
        <w:rPr>
          <w:lang w:val="en-US" w:eastAsia="en-US" w:bidi="ar-SA"/>
        </w:rPr>
      </w:pPr>
      <w:r>
        <w:rPr>
          <w:rFonts w:ascii="Arial" w:eastAsia="Arial" w:hAnsi="Arial" w:cs="Arial"/>
          <w:b/>
          <w:color w:val="000000"/>
          <w:sz w:val="20"/>
          <w:lang w:val="en-US" w:eastAsia="en-US" w:bidi="ar-SA"/>
        </w:rPr>
        <w:t xml:space="preserve">Search Terms: </w:t>
      </w:r>
      <w:r>
        <w:rPr>
          <w:rFonts w:ascii="Arial" w:eastAsia="Arial" w:hAnsi="Arial" w:cs="Arial"/>
          <w:color w:val="000000"/>
          <w:sz w:val="20"/>
          <w:lang w:val="en-US" w:eastAsia="en-US" w:bidi="ar-SA"/>
        </w:rPr>
        <w:t>2-10-132</w:t>
      </w:r>
    </w:p>
    <w:p>
      <w:pPr>
        <w:keepNext w:val="0"/>
        <w:spacing w:before="80" w:after="0" w:line="240" w:lineRule="atLeast"/>
        <w:ind w:left="290" w:right="0" w:firstLine="0"/>
        <w:jc w:val="left"/>
        <w:rPr>
          <w:lang w:val="en-US" w:eastAsia="en-US" w:bidi="ar-SA"/>
        </w:rPr>
      </w:pPr>
      <w:r>
        <w:rPr>
          <w:rFonts w:ascii="Arial" w:eastAsia="Arial" w:hAnsi="Arial" w:cs="Arial"/>
          <w:b/>
          <w:color w:val="000000"/>
          <w:sz w:val="20"/>
          <w:lang w:val="en-US" w:eastAsia="en-US" w:bidi="ar-SA"/>
        </w:rPr>
        <w:t xml:space="preserve">Search Type: </w:t>
      </w:r>
      <w:r>
        <w:rPr>
          <w:rFonts w:ascii="Arial" w:eastAsia="Arial" w:hAnsi="Arial" w:cs="Arial"/>
          <w:color w:val="000000"/>
          <w:sz w:val="20"/>
          <w:lang w:val="en-US" w:eastAsia="en-US" w:bidi="ar-SA"/>
        </w:rPr>
        <w:t xml:space="preserve">Natural Language </w:t>
      </w:r>
    </w:p>
    <w:p>
      <w:pPr>
        <w:keepNext w:val="0"/>
        <w:spacing w:before="80" w:after="0" w:line="240" w:lineRule="atLeast"/>
        <w:ind w:left="290" w:right="0" w:firstLine="0"/>
        <w:jc w:val="left"/>
        <w:rPr>
          <w:lang w:val="en-US" w:eastAsia="en-US" w:bidi="ar-SA"/>
        </w:rPr>
      </w:pPr>
      <w:r>
        <w:rPr>
          <w:rFonts w:ascii="Arial" w:eastAsia="Arial" w:hAnsi="Arial" w:cs="Arial"/>
          <w:b/>
          <w:color w:val="000000"/>
          <w:sz w:val="20"/>
          <w:lang w:val="en-US" w:eastAsia="en-US" w:bidi="ar-SA"/>
        </w:rPr>
        <w:t xml:space="preserve">Narrowed by: </w:t>
      </w:r>
    </w:p>
    <w:p>
      <w:pPr>
        <w:keepNext w:val="0"/>
        <w:spacing w:after="0" w:line="100" w:lineRule="exact"/>
        <w:ind w:left="0" w:right="0" w:firstLine="0"/>
        <w:jc w:val="both"/>
        <w:rPr>
          <w:lang w:val="en-US" w:eastAsia="en-US" w:bidi="ar-SA"/>
        </w:rPr>
      </w:pPr>
    </w:p>
    <w:tbl>
      <w:tblPr>
        <w:tblStyle w:val="TableNormal"/>
        <w:tblW w:w="8000" w:type="dxa"/>
        <w:jc w:val="center"/>
        <w:tblBorders>
          <w:top w:val="nil"/>
          <w:left w:val="nil"/>
          <w:bottom w:val="nil"/>
          <w:right w:val="nil"/>
          <w:insideH w:val="nil"/>
          <w:insideV w:val="nil"/>
        </w:tblBorders>
        <w:tblLayout w:type="fixed"/>
        <w:tblCellMar>
          <w:left w:w="108" w:type="dxa"/>
          <w:right w:w="108" w:type="dxa"/>
        </w:tblCellMar>
      </w:tblPr>
      <w:tblGrid>
        <w:gridCol w:w="3000"/>
        <w:gridCol w:w="5000"/>
      </w:tblGrid>
      <w:tr>
        <w:tblPrEx>
          <w:tblW w:w="8000" w:type="dxa"/>
          <w:jc w:val="center"/>
          <w:tblBorders>
            <w:top w:val="nil"/>
            <w:left w:val="nil"/>
            <w:bottom w:val="nil"/>
            <w:right w:val="nil"/>
            <w:insideH w:val="nil"/>
            <w:insideV w:val="nil"/>
          </w:tblBorders>
          <w:tblLayout w:type="fixed"/>
          <w:tblCellMar>
            <w:left w:w="108" w:type="dxa"/>
            <w:right w:w="108" w:type="dxa"/>
          </w:tblCellMar>
        </w:tblPrEx>
        <w:trPr>
          <w:jc w:val="center"/>
        </w:trPr>
        <w:tc>
          <w:tcPr>
            <w:tcW w:w="3000" w:type="dxa"/>
          </w:tcPr>
          <w:p>
            <w:pPr>
              <w:keepNext w:val="0"/>
              <w:spacing w:after="0" w:line="220" w:lineRule="atLeast"/>
              <w:ind w:left="0" w:right="0" w:firstLine="0"/>
              <w:jc w:val="left"/>
              <w:rPr>
                <w:lang w:val="en-US" w:eastAsia="en-US" w:bidi="ar-SA"/>
              </w:rPr>
            </w:pPr>
            <w:r>
              <w:rPr>
                <w:rFonts w:ascii="Arial" w:eastAsia="Arial" w:hAnsi="Arial" w:cs="Arial"/>
                <w:b/>
                <w:color w:val="000000"/>
                <w:sz w:val="18"/>
                <w:lang w:val="en-US" w:eastAsia="en-US" w:bidi="ar-SA"/>
              </w:rPr>
              <w:t>Content Type</w:t>
            </w:r>
          </w:p>
        </w:tc>
        <w:tc>
          <w:tcPr>
            <w:tcW w:w="5000" w:type="dxa"/>
          </w:tcPr>
          <w:p>
            <w:pPr>
              <w:keepNext w:val="0"/>
              <w:spacing w:after="0" w:line="220" w:lineRule="atLeast"/>
              <w:ind w:left="0" w:right="0" w:firstLine="0"/>
              <w:jc w:val="left"/>
              <w:rPr>
                <w:lang w:val="en-US" w:eastAsia="en-US" w:bidi="ar-SA"/>
              </w:rPr>
            </w:pPr>
            <w:r>
              <w:rPr>
                <w:rFonts w:ascii="Arial" w:eastAsia="Arial" w:hAnsi="Arial" w:cs="Arial"/>
                <w:b/>
                <w:color w:val="000000"/>
                <w:sz w:val="18"/>
                <w:lang w:val="en-US" w:eastAsia="en-US" w:bidi="ar-SA"/>
              </w:rPr>
              <w:t>Narrowed by</w:t>
            </w:r>
          </w:p>
        </w:tc>
      </w:tr>
      <w:tr>
        <w:tblPrEx>
          <w:tblW w:w="8000" w:type="dxa"/>
          <w:jc w:val="center"/>
          <w:tblLayout w:type="fixed"/>
          <w:tblCellMar>
            <w:left w:w="108" w:type="dxa"/>
            <w:right w:w="108" w:type="dxa"/>
          </w:tblCellMar>
        </w:tblPrEx>
        <w:trPr>
          <w:jc w:val="center"/>
        </w:trPr>
        <w:tc>
          <w:tcPr>
            <w:tcW w:w="3000" w:type="dxa"/>
          </w:tcPr>
          <w:p>
            <w:pPr>
              <w:keepNext w:val="0"/>
              <w:spacing w:after="0" w:line="220" w:lineRule="atLeast"/>
              <w:ind w:left="0" w:right="0" w:firstLine="0"/>
              <w:jc w:val="left"/>
              <w:rPr>
                <w:lang w:val="en-US" w:eastAsia="en-US" w:bidi="ar-SA"/>
              </w:rPr>
            </w:pPr>
            <w:r>
              <w:rPr>
                <w:rFonts w:ascii="Arial" w:eastAsia="Arial" w:hAnsi="Arial" w:cs="Arial"/>
                <w:color w:val="000000"/>
                <w:sz w:val="18"/>
                <w:lang w:val="en-US" w:eastAsia="en-US" w:bidi="ar-SA"/>
              </w:rPr>
              <w:t>Statutes and Legislation</w:t>
            </w:r>
          </w:p>
        </w:tc>
        <w:tc>
          <w:tcPr>
            <w:tcW w:w="5000" w:type="dxa"/>
          </w:tcPr>
          <w:p>
            <w:pPr>
              <w:keepNext w:val="0"/>
              <w:spacing w:after="0" w:line="220" w:lineRule="atLeast"/>
              <w:ind w:left="0" w:right="0" w:firstLine="0"/>
              <w:jc w:val="left"/>
              <w:rPr>
                <w:lang w:val="en-US" w:eastAsia="en-US" w:bidi="ar-SA"/>
              </w:rPr>
            </w:pPr>
            <w:r>
              <w:rPr>
                <w:rFonts w:ascii="Arial" w:eastAsia="Arial" w:hAnsi="Arial" w:cs="Arial"/>
                <w:color w:val="000000"/>
                <w:sz w:val="18"/>
                <w:lang w:val="en-US" w:eastAsia="en-US" w:bidi="ar-SA"/>
              </w:rPr>
              <w:t>Jurisdiction: Tennessee</w:t>
            </w:r>
          </w:p>
        </w:tc>
      </w:tr>
    </w:tbl>
    <w:p>
      <w:pPr>
        <w:rPr>
          <w:lang w:val="en-US" w:eastAsia="en-US" w:bidi="ar-SA"/>
        </w:rPr>
        <w:sectPr>
          <w:headerReference w:type="even" r:id="rId6"/>
          <w:headerReference w:type="default" r:id="rId7"/>
          <w:footerReference w:type="even" r:id="rId8"/>
          <w:footerReference w:type="default" r:id="rId9"/>
          <w:headerReference w:type="first" r:id="rId10"/>
          <w:footerReference w:type="first" r:id="rId11"/>
          <w:type w:val="nextPage"/>
          <w:pgMar w:top="840" w:right="1080" w:bottom="840" w:left="1080" w:header="0" w:footer="0"/>
          <w:pgNumType w:fmt="decimal"/>
          <w:cols w:space="720"/>
        </w:sectPr>
      </w:pPr>
    </w:p>
    <w:p>
      <w:pPr>
        <w:rPr>
          <w:rFonts w:ascii="arial" w:eastAsia="arial" w:hAnsi="arial" w:cs="arial"/>
          <w:sz w:val="20"/>
          <w:lang w:val="en-US" w:eastAsia="en-US" w:bidi="ar-SA"/>
        </w:rPr>
        <w:sectPr>
          <w:headerReference w:type="even" r:id="rId12"/>
          <w:headerReference w:type="default" r:id="rId13"/>
          <w:footerReference w:type="even" r:id="rId14"/>
          <w:footerReference w:type="default" r:id="rId15"/>
          <w:headerReference w:type="first" r:id="rId16"/>
          <w:footerReference w:type="first" r:id="rId17"/>
          <w:type w:val="nextPage"/>
          <w:pgSz w:w="12240" w:h="15840"/>
          <w:pgMar w:top="840" w:right="1000" w:bottom="840" w:left="1000" w:header="400" w:footer="400"/>
          <w:pgNumType w:fmt="decimal"/>
          <w:cols w:space="720"/>
          <w:titlePg/>
        </w:sectPr>
      </w:pPr>
    </w:p>
    <w:p>
      <w:pPr>
        <w:rPr>
          <w:rFonts w:ascii="arial" w:eastAsia="arial" w:hAnsi="arial" w:cs="arial"/>
          <w:sz w:val="20"/>
          <w:lang w:val="en-US" w:eastAsia="en-US" w:bidi="ar-SA"/>
        </w:rPr>
      </w:pPr>
      <w:bookmarkStart w:id="0" w:name="Bookmark_1"/>
      <w:bookmarkEnd w:id="0"/>
    </w:p>
    <w:p>
      <w:pPr>
        <w:keepNext w:val="0"/>
        <w:spacing w:before="240" w:after="200" w:line="340" w:lineRule="atLeast"/>
        <w:ind w:left="0" w:right="0" w:firstLine="0"/>
        <w:jc w:val="center"/>
        <w:outlineLvl w:val="0"/>
        <w:rPr>
          <w:rFonts w:ascii="Arial" w:eastAsia="arial" w:hAnsi="Arial" w:cs="Arial"/>
          <w:b/>
          <w:bCs/>
          <w:kern w:val="32"/>
          <w:sz w:val="32"/>
          <w:szCs w:val="32"/>
          <w:lang w:val="en-US" w:eastAsia="en-US" w:bidi="ar-SA"/>
        </w:rPr>
      </w:pPr>
      <w:hyperlink r:id="rId18" w:history="1">
        <w:r>
          <w:rPr>
            <w:rFonts w:ascii="arial" w:eastAsia="arial" w:hAnsi="arial" w:cs="arial"/>
            <w:b/>
            <w:bCs/>
            <w:i/>
            <w:color w:val="0077CC"/>
            <w:kern w:val="32"/>
            <w:sz w:val="28"/>
            <w:szCs w:val="32"/>
            <w:u w:val="single"/>
            <w:shd w:val="clear" w:color="auto" w:fill="FFFFFF"/>
            <w:lang w:val="en-US" w:eastAsia="en-US" w:bidi="ar-SA"/>
          </w:rPr>
          <w:t xml:space="preserve">Tenn. Code Ann. § </w:t>
        </w:r>
      </w:hyperlink>
      <w:hyperlink r:id="rId18" w:history="1">
        <w:r>
          <w:rPr>
            <w:rFonts w:ascii="arial" w:eastAsia="arial" w:hAnsi="arial" w:cs="arial"/>
            <w:b/>
            <w:bCs/>
            <w:i/>
            <w:color w:val="0077CC"/>
            <w:kern w:val="32"/>
            <w:sz w:val="28"/>
            <w:szCs w:val="32"/>
            <w:u w:val="single"/>
            <w:shd w:val="clear" w:color="auto" w:fill="FFFFFF"/>
            <w:lang w:val="en-US" w:eastAsia="en-US" w:bidi="ar-SA"/>
          </w:rPr>
          <w:t>2-10-132</w:t>
        </w:r>
      </w:hyperlink>
    </w:p>
    <w:p>
      <w:pPr>
        <w:keepNext w:val="0"/>
        <w:spacing w:before="120" w:after="0" w:line="260" w:lineRule="atLeast"/>
        <w:ind w:left="0" w:right="0" w:firstLine="0"/>
        <w:jc w:val="center"/>
        <w:rPr>
          <w:rFonts w:ascii="arial" w:eastAsia="arial" w:hAnsi="arial" w:cs="arial"/>
          <w:sz w:val="20"/>
          <w:lang w:val="en-US" w:eastAsia="en-US" w:bidi="ar-SA"/>
        </w:rPr>
      </w:pPr>
      <w:r>
        <w:rPr>
          <w:rFonts w:ascii="arial" w:eastAsia="arial" w:hAnsi="arial" w:cs="arial"/>
          <w:color w:val="000000"/>
          <w:sz w:val="20"/>
          <w:lang w:val="en-US" w:eastAsia="en-US" w:bidi="ar-SA"/>
        </w:rPr>
        <w:t>Current through the 2022 Regular Session.</w:t>
      </w:r>
    </w:p>
    <w:p>
      <w:pPr>
        <w:keepNext w:val="0"/>
        <w:spacing w:after="0" w:line="240" w:lineRule="atLeast"/>
        <w:ind w:right="0"/>
        <w:jc w:val="both"/>
        <w:rPr>
          <w:rFonts w:ascii="arial" w:eastAsia="arial" w:hAnsi="arial" w:cs="arial"/>
          <w:sz w:val="20"/>
          <w:lang w:val="en-US" w:eastAsia="en-US" w:bidi="ar-SA"/>
        </w:rPr>
      </w:pPr>
    </w:p>
    <w:p>
      <w:pPr>
        <w:keepNext w:val="0"/>
        <w:spacing w:before="200" w:after="0" w:line="280" w:lineRule="atLeast"/>
        <w:ind w:left="0" w:right="0" w:firstLine="0"/>
        <w:jc w:val="left"/>
        <w:rPr>
          <w:rFonts w:ascii="arial" w:eastAsia="arial" w:hAnsi="arial" w:cs="arial"/>
          <w:sz w:val="20"/>
          <w:lang w:val="en-US" w:eastAsia="en-US" w:bidi="ar-SA"/>
        </w:rPr>
      </w:pPr>
      <w:r>
        <w:rPr>
          <w:rFonts w:ascii="arial" w:eastAsia="arial" w:hAnsi="arial" w:cs="arial"/>
          <w:b/>
          <w:i/>
          <w:color w:val="000000"/>
          <w:sz w:val="22"/>
          <w:lang w:val="en-US" w:eastAsia="en-US" w:bidi="ar-SA"/>
        </w:rPr>
        <w:t>TN - Tennessee Code Annotated</w:t>
      </w:r>
      <w:r>
        <w:rPr>
          <w:rFonts w:ascii="arial" w:eastAsia="arial" w:hAnsi="arial" w:cs="arial"/>
          <w:b/>
          <w:color w:val="000000"/>
          <w:sz w:val="22"/>
          <w:lang w:val="en-US" w:eastAsia="en-US" w:bidi="ar-SA"/>
        </w:rPr>
        <w:t xml:space="preserve">  &gt;  </w:t>
      </w:r>
      <w:r>
        <w:rPr>
          <w:rFonts w:ascii="arial" w:eastAsia="arial" w:hAnsi="arial" w:cs="arial"/>
          <w:b/>
          <w:i/>
          <w:color w:val="000000"/>
          <w:sz w:val="22"/>
          <w:lang w:val="en-US" w:eastAsia="en-US" w:bidi="ar-SA"/>
        </w:rPr>
        <w:t>Title 2 Elections</w:t>
      </w:r>
      <w:r>
        <w:rPr>
          <w:rFonts w:ascii="arial" w:eastAsia="arial" w:hAnsi="arial" w:cs="arial"/>
          <w:b/>
          <w:color w:val="000000"/>
          <w:sz w:val="22"/>
          <w:lang w:val="en-US" w:eastAsia="en-US" w:bidi="ar-SA"/>
        </w:rPr>
        <w:t xml:space="preserve">  &gt;  </w:t>
      </w:r>
      <w:r>
        <w:rPr>
          <w:rFonts w:ascii="arial" w:eastAsia="arial" w:hAnsi="arial" w:cs="arial"/>
          <w:b/>
          <w:i/>
          <w:color w:val="000000"/>
          <w:sz w:val="22"/>
          <w:lang w:val="en-US" w:eastAsia="en-US" w:bidi="ar-SA"/>
        </w:rPr>
        <w:t>Chapter 10 Campaign Finances</w:t>
      </w:r>
      <w:r>
        <w:rPr>
          <w:rFonts w:ascii="arial" w:eastAsia="arial" w:hAnsi="arial" w:cs="arial"/>
          <w:b/>
          <w:color w:val="000000"/>
          <w:sz w:val="22"/>
          <w:lang w:val="en-US" w:eastAsia="en-US" w:bidi="ar-SA"/>
        </w:rPr>
        <w:t xml:space="preserve">  &gt;  </w:t>
      </w:r>
      <w:r>
        <w:rPr>
          <w:rFonts w:ascii="arial" w:eastAsia="arial" w:hAnsi="arial" w:cs="arial"/>
          <w:b/>
          <w:i/>
          <w:color w:val="000000"/>
          <w:sz w:val="22"/>
          <w:lang w:val="en-US" w:eastAsia="en-US" w:bidi="ar-SA"/>
        </w:rPr>
        <w:t>Part 1 Financial Disclosure</w:t>
      </w:r>
    </w:p>
    <w:p>
      <w:pPr>
        <w:keepNext/>
        <w:spacing w:before="240" w:after="0" w:line="340" w:lineRule="atLeast"/>
        <w:ind w:left="0" w:right="0" w:firstLine="0"/>
        <w:jc w:val="left"/>
        <w:rPr>
          <w:rFonts w:ascii="arial" w:eastAsia="arial" w:hAnsi="arial" w:cs="arial"/>
          <w:sz w:val="20"/>
          <w:lang w:val="en-US" w:eastAsia="en-US" w:bidi="ar-SA"/>
        </w:rPr>
      </w:pPr>
      <w:r>
        <w:rPr>
          <w:rFonts w:ascii="arial" w:eastAsia="arial" w:hAnsi="arial" w:cs="arial"/>
          <w:sz w:val="20"/>
          <w:lang w:val="en-US" w:eastAsia="en-US" w:bidi="ar-SA"/>
        </w:rPr>
        <w:br/>
      </w:r>
      <w:r>
        <w:rPr>
          <w:rFonts w:ascii="arial" w:eastAsia="arial" w:hAnsi="arial" w:cs="arial"/>
          <w:b/>
          <w:i/>
          <w:color w:val="000000"/>
          <w:sz w:val="28"/>
          <w:u w:val="single"/>
          <w:lang w:val="en-US" w:eastAsia="en-US" w:bidi="ar-SA"/>
        </w:rPr>
        <w:t>2-10-132</w:t>
      </w:r>
      <w:r>
        <w:rPr>
          <w:rFonts w:ascii="arial" w:eastAsia="arial" w:hAnsi="arial" w:cs="arial"/>
          <w:b/>
          <w:color w:val="000000"/>
          <w:sz w:val="28"/>
          <w:lang w:val="en-US" w:eastAsia="en-US" w:bidi="ar-SA"/>
        </w:rPr>
        <w:t>. Designation as a political campaign committee for reporting purposes — Report of expenditures by tax exempt organization.</w:t>
      </w:r>
    </w:p>
    <w:p>
      <w:pPr>
        <w:spacing w:line="60" w:lineRule="exact"/>
        <w:rPr>
          <w:rFonts w:ascii="arial" w:eastAsia="arial" w:hAnsi="arial" w:cs="arial"/>
          <w:sz w:val="20"/>
          <w:lang w:val="en-US" w:eastAsia="en-US" w:bidi="ar-SA"/>
        </w:rPr>
      </w:pPr>
      <w:r>
        <w:pict>
          <v:line id="_x0000_s1026" style="position:absolute;z-index:251658240" from="0,2pt" to="512pt,2pt" strokecolor="#009ddb" strokeweight="2pt">
            <v:stroke linestyle="single"/>
            <w10:wrap type="topAndBottom"/>
          </v:line>
        </w:pict>
      </w:r>
    </w:p>
    <w:p>
      <w:pPr>
        <w:rPr>
          <w:rFonts w:ascii="arial" w:eastAsia="arial" w:hAnsi="arial" w:cs="arial"/>
          <w:sz w:val="20"/>
          <w:lang w:val="en-US" w:eastAsia="en-US" w:bidi="ar-SA"/>
        </w:rPr>
      </w:pPr>
    </w:p>
    <w:p>
      <w:pPr>
        <w:keepNext w:val="0"/>
        <w:spacing w:before="120" w:after="0" w:line="260" w:lineRule="atLeast"/>
        <w:ind w:left="72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(a)  </w:t>
      </w:r>
      <w:bookmarkStart w:id="1" w:name="Bookmark__a"/>
      <w:bookmarkEnd w:id="1"/>
      <w:r>
        <w:rPr>
          <w:rFonts w:ascii="arial" w:eastAsia="arial" w:hAnsi="arial" w:cs="arial"/>
          <w:color w:val="000000"/>
          <w:sz w:val="20"/>
          <w:lang w:val="en-US" w:eastAsia="en-US" w:bidi="ar-SA"/>
        </w:rPr>
        <w:t xml:space="preserve">Notwithstanding any law to the contrary, a corporation that uses corporate funds, moneys or credits for communications expressly advocating the election or defeat of a clearly identified candidate which funds, moneys or credits are not used with the cooperation or with the prior consent of, or in consultation with, or at the request of, or suggestion of, a candidate or any agent or authorized committee of the candidate shall be considered a political campaign committee for purposes of reporting such expenditures. The corporation shall be required to file reports required by </w:t>
      </w:r>
      <w:hyperlink r:id="rId19" w:history="1">
        <w:r>
          <w:rPr>
            <w:rFonts w:ascii="arial" w:eastAsia="arial" w:hAnsi="arial" w:cs="arial"/>
            <w:i/>
            <w:color w:val="0077CC"/>
            <w:sz w:val="20"/>
            <w:u w:val="single"/>
            <w:shd w:val="clear" w:color="auto" w:fill="FFFFFF"/>
            <w:lang w:val="en-US" w:eastAsia="en-US" w:bidi="ar-SA"/>
          </w:rPr>
          <w:t>§ 2-10-105(c)(1)</w:t>
        </w:r>
      </w:hyperlink>
      <w:r>
        <w:rPr>
          <w:rFonts w:ascii="arial" w:eastAsia="arial" w:hAnsi="arial" w:cs="arial"/>
          <w:color w:val="000000"/>
          <w:sz w:val="20"/>
          <w:lang w:val="en-US" w:eastAsia="en-US" w:bidi="ar-SA"/>
        </w:rPr>
        <w:t xml:space="preserve"> and an appointment of treasurer form.</w:t>
      </w:r>
    </w:p>
    <w:p>
      <w:pPr>
        <w:spacing w:before="120" w:line="240" w:lineRule="atLeast"/>
        <w:ind w:left="720"/>
        <w:rPr>
          <w:rFonts w:ascii="arial" w:eastAsia="arial" w:hAnsi="arial" w:cs="arial"/>
          <w:sz w:val="20"/>
          <w:lang w:val="en-US" w:eastAsia="en-US" w:bidi="ar-SA"/>
        </w:rPr>
      </w:pPr>
      <w:r>
        <w:rPr>
          <w:rFonts w:ascii="arial" w:eastAsia="arial" w:hAnsi="arial" w:cs="arial"/>
          <w:b/>
          <w:sz w:val="20"/>
          <w:lang w:val="en-US" w:eastAsia="en-US" w:bidi="ar-SA"/>
        </w:rPr>
        <w:t xml:space="preserve">(b)  </w:t>
      </w:r>
      <w:bookmarkStart w:id="2" w:name="Bookmark__b"/>
      <w:bookmarkEnd w:id="2"/>
    </w:p>
    <w:p>
      <w:pPr>
        <w:keepNext w:val="0"/>
        <w:spacing w:before="120" w:after="0" w:line="260" w:lineRule="atLeast"/>
        <w:ind w:left="108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(1)  </w:t>
      </w:r>
      <w:bookmarkStart w:id="3" w:name="Bookmark__b_1"/>
      <w:bookmarkEnd w:id="3"/>
      <w:r>
        <w:rPr>
          <w:rFonts w:ascii="arial" w:eastAsia="arial" w:hAnsi="arial" w:cs="arial"/>
          <w:color w:val="000000"/>
          <w:sz w:val="20"/>
          <w:lang w:val="en-US" w:eastAsia="en-US" w:bidi="ar-SA"/>
        </w:rPr>
        <w:t>Notwithstanding another law to the contrary, an organization that is tax exempt under United States Internal Revenue Service Code § 501(c)(4), (5), or (6) (</w:t>
      </w:r>
      <w:hyperlink r:id="rId20" w:history="1">
        <w:r>
          <w:rPr>
            <w:rFonts w:ascii="arial" w:eastAsia="arial" w:hAnsi="arial" w:cs="arial"/>
            <w:i/>
            <w:color w:val="0077CC"/>
            <w:sz w:val="20"/>
            <w:u w:val="single"/>
            <w:shd w:val="clear" w:color="auto" w:fill="FFFFFF"/>
            <w:lang w:val="en-US" w:eastAsia="en-US" w:bidi="ar-SA"/>
          </w:rPr>
          <w:t>26 U.S.C. § 501(c)(4)</w:t>
        </w:r>
      </w:hyperlink>
      <w:r>
        <w:rPr>
          <w:rFonts w:ascii="arial" w:eastAsia="arial" w:hAnsi="arial" w:cs="arial"/>
          <w:color w:val="000000"/>
          <w:sz w:val="20"/>
          <w:lang w:val="en-US" w:eastAsia="en-US" w:bidi="ar-SA"/>
        </w:rPr>
        <w:t xml:space="preserve">, (5), or (6)) is required to report expenditures in accordance with </w:t>
      </w:r>
      <w:hyperlink r:id="rId19" w:history="1">
        <w:r>
          <w:rPr>
            <w:rFonts w:ascii="arial" w:eastAsia="arial" w:hAnsi="arial" w:cs="arial"/>
            <w:i/>
            <w:color w:val="0077CC"/>
            <w:sz w:val="20"/>
            <w:u w:val="single"/>
            <w:shd w:val="clear" w:color="auto" w:fill="FFFFFF"/>
            <w:lang w:val="en-US" w:eastAsia="en-US" w:bidi="ar-SA"/>
          </w:rPr>
          <w:t>§ 2-10-105(c)(1)</w:t>
        </w:r>
      </w:hyperlink>
      <w:r>
        <w:rPr>
          <w:rFonts w:ascii="arial" w:eastAsia="arial" w:hAnsi="arial" w:cs="arial"/>
          <w:color w:val="000000"/>
          <w:sz w:val="20"/>
          <w:lang w:val="en-US" w:eastAsia="en-US" w:bidi="ar-SA"/>
        </w:rPr>
        <w:t xml:space="preserve"> and (h) during the remainder of an election year and certify the name and address of any person who directly controls such expenditures along with any such person's evidence of identification as defined in </w:t>
      </w:r>
      <w:hyperlink r:id="rId19" w:history="1">
        <w:r>
          <w:rPr>
            <w:rFonts w:ascii="arial" w:eastAsia="arial" w:hAnsi="arial" w:cs="arial"/>
            <w:i/>
            <w:color w:val="0077CC"/>
            <w:sz w:val="20"/>
            <w:u w:val="single"/>
            <w:shd w:val="clear" w:color="auto" w:fill="FFFFFF"/>
            <w:lang w:val="en-US" w:eastAsia="en-US" w:bidi="ar-SA"/>
          </w:rPr>
          <w:t>§ 2-10-105(e)(3)(C)</w:t>
        </w:r>
      </w:hyperlink>
      <w:r>
        <w:rPr>
          <w:rFonts w:ascii="arial" w:eastAsia="arial" w:hAnsi="arial" w:cs="arial"/>
          <w:color w:val="000000"/>
          <w:sz w:val="20"/>
          <w:lang w:val="en-US" w:eastAsia="en-US" w:bidi="ar-SA"/>
        </w:rPr>
        <w:t xml:space="preserve"> to the registry of election finance if:</w:t>
      </w:r>
    </w:p>
    <w:p>
      <w:pPr>
        <w:keepNext w:val="0"/>
        <w:spacing w:before="120" w:after="0" w:line="260" w:lineRule="atLeast"/>
        <w:ind w:left="144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(A)  </w:t>
      </w:r>
      <w:bookmarkStart w:id="4" w:name="Bookmark__b_1_A"/>
      <w:bookmarkEnd w:id="4"/>
      <w:r>
        <w:rPr>
          <w:rFonts w:ascii="arial" w:eastAsia="arial" w:hAnsi="arial" w:cs="arial"/>
          <w:color w:val="000000"/>
          <w:sz w:val="20"/>
          <w:lang w:val="en-US" w:eastAsia="en-US" w:bidi="ar-SA"/>
        </w:rPr>
        <w:t>The organization expends an aggregate total of at least five thousand dollars ($5,000) in organizational funds, moneys, or credits for communications that expressly contain the name or visually depict the likeness of a state candidate in a primary or general election; and</w:t>
      </w:r>
    </w:p>
    <w:p>
      <w:pPr>
        <w:keepNext w:val="0"/>
        <w:spacing w:before="120" w:after="0" w:line="260" w:lineRule="atLeast"/>
        <w:ind w:left="144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(B)  </w:t>
      </w:r>
      <w:bookmarkStart w:id="5" w:name="Bookmark__b_1_B"/>
      <w:bookmarkEnd w:id="5"/>
      <w:r>
        <w:rPr>
          <w:rFonts w:ascii="arial" w:eastAsia="arial" w:hAnsi="arial" w:cs="arial"/>
          <w:color w:val="000000"/>
          <w:sz w:val="20"/>
          <w:lang w:val="en-US" w:eastAsia="en-US" w:bidi="ar-SA"/>
        </w:rPr>
        <w:t>Such expenditures or communications occur within sixty (60) calendar days immediately preceding a primary or general election in which the named or visually depicted candidate appears on the ballot.</w:t>
      </w:r>
    </w:p>
    <w:p>
      <w:pPr>
        <w:keepNext w:val="0"/>
        <w:spacing w:before="120" w:after="0" w:line="260" w:lineRule="atLeast"/>
        <w:ind w:left="108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(2)  </w:t>
      </w:r>
      <w:bookmarkStart w:id="6" w:name="Bookmark__b_2"/>
      <w:bookmarkEnd w:id="6"/>
      <w:r>
        <w:rPr>
          <w:rFonts w:ascii="arial" w:eastAsia="arial" w:hAnsi="arial" w:cs="arial"/>
          <w:color w:val="000000"/>
          <w:sz w:val="20"/>
          <w:lang w:val="en-US" w:eastAsia="en-US" w:bidi="ar-SA"/>
        </w:rPr>
        <w:t>This subsection (b) does not require an organization that is tax exempt under United States Internal Revenue Service Code § 501(c)(4), (5), or (6) (</w:t>
      </w:r>
      <w:hyperlink r:id="rId20" w:history="1">
        <w:r>
          <w:rPr>
            <w:rFonts w:ascii="arial" w:eastAsia="arial" w:hAnsi="arial" w:cs="arial"/>
            <w:i/>
            <w:color w:val="0077CC"/>
            <w:sz w:val="20"/>
            <w:u w:val="single"/>
            <w:shd w:val="clear" w:color="auto" w:fill="FFFFFF"/>
            <w:lang w:val="en-US" w:eastAsia="en-US" w:bidi="ar-SA"/>
          </w:rPr>
          <w:t>26 U.S.C. § 501(c)(4)</w:t>
        </w:r>
      </w:hyperlink>
      <w:r>
        <w:rPr>
          <w:rFonts w:ascii="arial" w:eastAsia="arial" w:hAnsi="arial" w:cs="arial"/>
          <w:color w:val="000000"/>
          <w:sz w:val="20"/>
          <w:lang w:val="en-US" w:eastAsia="en-US" w:bidi="ar-SA"/>
        </w:rPr>
        <w:t>, (5), or (6)) to report any form of contributions.</w:t>
      </w:r>
    </w:p>
    <w:p>
      <w:pPr>
        <w:keepNext w:val="0"/>
        <w:spacing w:before="120" w:after="0" w:line="260" w:lineRule="atLeast"/>
        <w:ind w:left="108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(3)  </w:t>
      </w:r>
      <w:bookmarkStart w:id="7" w:name="Bookmark__b_3"/>
      <w:bookmarkEnd w:id="7"/>
      <w:r>
        <w:rPr>
          <w:rFonts w:ascii="arial" w:eastAsia="arial" w:hAnsi="arial" w:cs="arial"/>
          <w:color w:val="000000"/>
          <w:sz w:val="20"/>
          <w:lang w:val="en-US" w:eastAsia="en-US" w:bidi="ar-SA"/>
        </w:rPr>
        <w:t>As used in this subsection (b), “communications” does not include:</w:t>
      </w:r>
    </w:p>
    <w:p>
      <w:pPr>
        <w:keepNext w:val="0"/>
        <w:spacing w:before="120" w:after="0" w:line="260" w:lineRule="atLeast"/>
        <w:ind w:left="144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(A)  </w:t>
      </w:r>
      <w:bookmarkStart w:id="8" w:name="Bookmark__b_3_A"/>
      <w:bookmarkEnd w:id="8"/>
      <w:r>
        <w:rPr>
          <w:rFonts w:ascii="arial" w:eastAsia="arial" w:hAnsi="arial" w:cs="arial"/>
          <w:color w:val="000000"/>
          <w:sz w:val="20"/>
          <w:lang w:val="en-US" w:eastAsia="en-US" w:bidi="ar-SA"/>
        </w:rPr>
        <w:t>Any communication by any membership organization solely to its members, employees, or to any person who has expressly consented to receiving communications from the organization;</w:t>
      </w:r>
    </w:p>
    <w:p>
      <w:pPr>
        <w:keepNext w:val="0"/>
        <w:spacing w:before="120" w:after="0" w:line="260" w:lineRule="atLeast"/>
        <w:ind w:left="144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(B)  </w:t>
      </w:r>
      <w:bookmarkStart w:id="9" w:name="Bookmark__b_3_B"/>
      <w:bookmarkEnd w:id="9"/>
      <w:r>
        <w:rPr>
          <w:rFonts w:ascii="arial" w:eastAsia="arial" w:hAnsi="arial" w:cs="arial"/>
          <w:color w:val="000000"/>
          <w:sz w:val="20"/>
          <w:lang w:val="en-US" w:eastAsia="en-US" w:bidi="ar-SA"/>
        </w:rPr>
        <w:t>Any communication made prior to the period described in subdivision (b)(1)(B) but that remains accessible during the period; provided, that such communication is not actively promoted or distributed by the organization within the period to the public at large excluding any person described in subdivision (b)(3)(A); or</w:t>
      </w:r>
    </w:p>
    <w:p>
      <w:pPr>
        <w:keepNext w:val="0"/>
        <w:spacing w:before="120" w:after="0" w:line="260" w:lineRule="atLeast"/>
        <w:ind w:left="1440" w:right="0"/>
        <w:jc w:val="left"/>
        <w:rPr>
          <w:rFonts w:ascii="arial" w:eastAsia="arial" w:hAnsi="arial" w:cs="arial"/>
          <w:sz w:val="20"/>
          <w:lang w:val="en-US" w:eastAsia="en-US" w:bidi="ar-SA"/>
        </w:rPr>
      </w:pPr>
      <w:r>
        <w:rPr>
          <w:rFonts w:ascii="arial" w:eastAsia="arial" w:hAnsi="arial" w:cs="arial"/>
          <w:b/>
          <w:sz w:val="20"/>
          <w:lang w:val="en-US" w:eastAsia="en-US" w:bidi="ar-SA"/>
        </w:rPr>
        <w:t xml:space="preserve">(C)  </w:t>
      </w:r>
      <w:bookmarkStart w:id="10" w:name="Bookmark__b_3_C"/>
      <w:bookmarkEnd w:id="10"/>
      <w:r>
        <w:rPr>
          <w:rFonts w:ascii="arial" w:eastAsia="arial" w:hAnsi="arial" w:cs="arial"/>
          <w:color w:val="000000"/>
          <w:sz w:val="20"/>
          <w:lang w:val="en-US" w:eastAsia="en-US" w:bidi="ar-SA"/>
        </w:rPr>
        <w:t>Any communication made to an official in the legislative branch or an official in the executive branch during any session of the general assembly.</w:t>
      </w:r>
    </w:p>
    <w:p>
      <w:pPr>
        <w:keepNext/>
        <w:spacing w:before="240" w:after="0" w:line="340" w:lineRule="atLeast"/>
        <w:ind w:left="0" w:right="0" w:firstLine="0"/>
        <w:jc w:val="left"/>
        <w:rPr>
          <w:rFonts w:ascii="arial" w:eastAsia="arial" w:hAnsi="arial" w:cs="arial"/>
          <w:sz w:val="20"/>
          <w:lang w:val="en-US" w:eastAsia="en-US" w:bidi="ar-SA"/>
        </w:rPr>
      </w:pPr>
      <w:bookmarkStart w:id="11" w:name="History"/>
      <w:bookmarkEnd w:id="11"/>
      <w:r>
        <w:rPr>
          <w:rFonts w:ascii="arial" w:eastAsia="arial" w:hAnsi="arial" w:cs="arial"/>
          <w:b/>
          <w:color w:val="000000"/>
          <w:sz w:val="28"/>
          <w:lang w:val="en-US" w:eastAsia="en-US" w:bidi="ar-SA"/>
        </w:rPr>
        <w:t>History</w:t>
      </w:r>
    </w:p>
    <w:p>
      <w:pPr>
        <w:spacing w:line="60" w:lineRule="exact"/>
        <w:rPr>
          <w:rFonts w:ascii="arial" w:eastAsia="arial" w:hAnsi="arial" w:cs="arial"/>
          <w:sz w:val="20"/>
          <w:lang w:val="en-US" w:eastAsia="en-US" w:bidi="ar-SA"/>
        </w:rPr>
      </w:pPr>
      <w:r>
        <w:pict>
          <v:line id="_x0000_s1027" style="position:absolute;z-index:251659264" from="0,2pt" to="512pt,2pt" strokecolor="#009ddb" strokeweight="2pt">
            <v:stroke linestyle="single"/>
            <w10:wrap type="topAndBottom"/>
          </v:line>
        </w:pict>
      </w:r>
    </w:p>
    <w:p>
      <w:pPr>
        <w:spacing w:line="120" w:lineRule="exact"/>
        <w:rPr>
          <w:rFonts w:ascii="arial" w:eastAsia="arial" w:hAnsi="arial" w:cs="arial"/>
          <w:sz w:val="20"/>
          <w:lang w:val="en-US" w:eastAsia="en-US" w:bidi="ar-SA"/>
        </w:rPr>
      </w:pPr>
    </w:p>
    <w:p>
      <w:pPr>
        <w:keepNext w:val="0"/>
        <w:spacing w:before="24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r>
        <w:rPr>
          <w:rFonts w:ascii="arial" w:eastAsia="arial" w:hAnsi="arial" w:cs="arial"/>
          <w:sz w:val="20"/>
          <w:lang w:val="en-US" w:eastAsia="en-US" w:bidi="ar-SA"/>
        </w:rPr>
        <w:br/>
      </w:r>
      <w:hyperlink r:id="rId21" w:history="1">
        <w:r>
          <w:rPr>
            <w:rFonts w:ascii="arial" w:eastAsia="arial" w:hAnsi="arial" w:cs="arial"/>
            <w:i/>
            <w:color w:val="0077CC"/>
            <w:sz w:val="20"/>
            <w:u w:val="single"/>
            <w:shd w:val="clear" w:color="auto" w:fill="FFFFFF"/>
            <w:lang w:val="en-US" w:eastAsia="en-US" w:bidi="ar-SA"/>
          </w:rPr>
          <w:t>Acts 2010, ch. 1095, § 4</w:t>
        </w:r>
      </w:hyperlink>
      <w:r>
        <w:rPr>
          <w:rFonts w:ascii="arial" w:eastAsia="arial" w:hAnsi="arial" w:cs="arial"/>
          <w:color w:val="000000"/>
          <w:sz w:val="20"/>
          <w:lang w:val="en-US" w:eastAsia="en-US" w:bidi="ar-SA"/>
        </w:rPr>
        <w:t xml:space="preserve">; </w:t>
      </w:r>
      <w:hyperlink r:id="rId22" w:history="1">
        <w:r>
          <w:rPr>
            <w:rFonts w:ascii="arial" w:eastAsia="arial" w:hAnsi="arial" w:cs="arial"/>
            <w:i/>
            <w:color w:val="0077CC"/>
            <w:sz w:val="20"/>
            <w:u w:val="single"/>
            <w:shd w:val="clear" w:color="auto" w:fill="FFFFFF"/>
            <w:lang w:val="en-US" w:eastAsia="en-US" w:bidi="ar-SA"/>
          </w:rPr>
          <w:t>2022, ch. 1087, § 13</w:t>
        </w:r>
      </w:hyperlink>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left"/>
        <w:rPr>
          <w:rFonts w:ascii="arial" w:eastAsia="arial" w:hAnsi="arial" w:cs="arial"/>
          <w:sz w:val="20"/>
          <w:lang w:val="en-US" w:eastAsia="en-US" w:bidi="ar-SA"/>
        </w:rPr>
      </w:pPr>
      <w:bookmarkStart w:id="12" w:name="Annotations"/>
      <w:bookmarkEnd w:id="12"/>
      <w:r>
        <w:rPr>
          <w:rFonts w:ascii="arial" w:eastAsia="arial" w:hAnsi="arial" w:cs="arial"/>
          <w:color w:val="000000"/>
          <w:sz w:val="20"/>
          <w:lang w:val="en-US" w:eastAsia="en-US" w:bidi="ar-SA"/>
        </w:rPr>
        <w:t>Annotations</w:t>
      </w:r>
    </w:p>
    <w:p>
      <w:pPr>
        <w:keepNext/>
        <w:spacing w:before="240" w:after="0" w:line="340" w:lineRule="atLeast"/>
        <w:ind w:left="0" w:right="0" w:firstLine="0"/>
        <w:jc w:val="left"/>
        <w:rPr>
          <w:rFonts w:ascii="arial" w:eastAsia="arial" w:hAnsi="arial" w:cs="arial"/>
          <w:sz w:val="20"/>
          <w:lang w:val="en-US" w:eastAsia="en-US" w:bidi="ar-SA"/>
        </w:rPr>
      </w:pPr>
      <w:bookmarkStart w:id="13" w:name="Notes"/>
      <w:bookmarkEnd w:id="13"/>
      <w:r>
        <w:rPr>
          <w:rFonts w:ascii="arial" w:eastAsia="arial" w:hAnsi="arial" w:cs="arial"/>
          <w:b/>
          <w:color w:val="000000"/>
          <w:sz w:val="28"/>
          <w:lang w:val="en-US" w:eastAsia="en-US" w:bidi="ar-SA"/>
        </w:rPr>
        <w:t>Notes</w:t>
      </w:r>
    </w:p>
    <w:p>
      <w:pPr>
        <w:spacing w:line="60" w:lineRule="exact"/>
        <w:rPr>
          <w:rFonts w:ascii="arial" w:eastAsia="arial" w:hAnsi="arial" w:cs="arial"/>
          <w:sz w:val="20"/>
          <w:lang w:val="en-US" w:eastAsia="en-US" w:bidi="ar-SA"/>
        </w:rPr>
      </w:pPr>
      <w:r>
        <w:pict>
          <v:line id="_x0000_s1028" style="position:absolute;z-index:251660288" from="0,2pt" to="512pt,2pt" strokecolor="#009ddb" strokeweight="2pt">
            <v:stroke linestyle="single"/>
            <w10:wrap type="topAndBottom"/>
          </v:line>
        </w:pict>
      </w:r>
    </w:p>
    <w:p>
      <w:pPr>
        <w:keepNext w:val="0"/>
        <w:spacing w:before="24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left"/>
        <w:rPr>
          <w:rFonts w:ascii="arial" w:eastAsia="arial" w:hAnsi="arial" w:cs="arial"/>
          <w:sz w:val="20"/>
          <w:lang w:val="en-US" w:eastAsia="en-US" w:bidi="ar-SA"/>
        </w:rPr>
      </w:pPr>
      <w:r>
        <w:rPr>
          <w:rFonts w:ascii="arial" w:eastAsia="arial" w:hAnsi="arial" w:cs="arial"/>
          <w:b/>
          <w:color w:val="000000"/>
          <w:sz w:val="20"/>
          <w:lang w:val="en-US" w:eastAsia="en-US" w:bidi="ar-SA"/>
        </w:rPr>
        <w:t>Amendments. </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00" w:after="0" w:line="260" w:lineRule="atLeast"/>
        <w:ind w:left="0" w:right="0" w:firstLine="0"/>
        <w:jc w:val="both"/>
        <w:rPr>
          <w:rFonts w:ascii="arial" w:eastAsia="arial" w:hAnsi="arial" w:cs="arial"/>
          <w:sz w:val="20"/>
          <w:lang w:val="en-US" w:eastAsia="en-US" w:bidi="ar-SA"/>
        </w:rPr>
      </w:pPr>
      <w:r>
        <w:rPr>
          <w:rFonts w:ascii="arial" w:eastAsia="arial" w:hAnsi="arial" w:cs="arial"/>
          <w:color w:val="000000"/>
          <w:sz w:val="20"/>
          <w:lang w:val="en-US" w:eastAsia="en-US" w:bidi="ar-SA"/>
        </w:rPr>
        <w:t>The 2022 amendment added the (a) designation and added (b).</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left"/>
        <w:rPr>
          <w:rFonts w:ascii="arial" w:eastAsia="arial" w:hAnsi="arial" w:cs="arial"/>
          <w:sz w:val="20"/>
          <w:lang w:val="en-US" w:eastAsia="en-US" w:bidi="ar-SA"/>
        </w:rPr>
      </w:pPr>
      <w:r>
        <w:rPr>
          <w:rFonts w:ascii="arial" w:eastAsia="arial" w:hAnsi="arial" w:cs="arial"/>
          <w:b/>
          <w:color w:val="000000"/>
          <w:sz w:val="20"/>
          <w:lang w:val="en-US" w:eastAsia="en-US" w:bidi="ar-SA"/>
        </w:rPr>
        <w:t>Effective Dates. </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both"/>
        <w:rPr>
          <w:rFonts w:ascii="arial" w:eastAsia="arial" w:hAnsi="arial" w:cs="arial"/>
          <w:sz w:val="20"/>
          <w:lang w:val="en-US" w:eastAsia="en-US" w:bidi="ar-SA"/>
        </w:rPr>
      </w:pPr>
      <w:hyperlink r:id="rId22" w:history="1">
        <w:r>
          <w:rPr>
            <w:rFonts w:ascii="arial" w:eastAsia="arial" w:hAnsi="arial" w:cs="arial"/>
            <w:i/>
            <w:color w:val="0077CC"/>
            <w:sz w:val="20"/>
            <w:u w:val="single"/>
            <w:shd w:val="clear" w:color="auto" w:fill="FFFFFF"/>
            <w:lang w:val="en-US" w:eastAsia="en-US" w:bidi="ar-SA"/>
          </w:rPr>
          <w:t>Acts 2022, ch. 1087, § 31</w:t>
        </w:r>
      </w:hyperlink>
      <w:r>
        <w:rPr>
          <w:rFonts w:ascii="arial" w:eastAsia="arial" w:hAnsi="arial" w:cs="arial"/>
          <w:color w:val="000000"/>
          <w:sz w:val="20"/>
          <w:lang w:val="en-US" w:eastAsia="en-US" w:bidi="ar-SA"/>
        </w:rPr>
        <w:t>. July 1, 2022.</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spacing w:before="240" w:after="0" w:line="340" w:lineRule="atLeast"/>
        <w:ind w:left="0" w:right="0" w:firstLine="0"/>
        <w:jc w:val="left"/>
        <w:rPr>
          <w:rFonts w:ascii="arial" w:eastAsia="arial" w:hAnsi="arial" w:cs="arial"/>
          <w:sz w:val="20"/>
          <w:lang w:val="en-US" w:eastAsia="en-US" w:bidi="ar-SA"/>
        </w:rPr>
      </w:pPr>
      <w:bookmarkStart w:id="14" w:name="Opinion Notes"/>
      <w:bookmarkEnd w:id="14"/>
      <w:r>
        <w:rPr>
          <w:rFonts w:ascii="arial" w:eastAsia="arial" w:hAnsi="arial" w:cs="arial"/>
          <w:b/>
          <w:color w:val="000000"/>
          <w:sz w:val="28"/>
          <w:lang w:val="en-US" w:eastAsia="en-US" w:bidi="ar-SA"/>
        </w:rPr>
        <w:t>Opinion Notes</w:t>
      </w:r>
    </w:p>
    <w:p>
      <w:pPr>
        <w:spacing w:line="60" w:lineRule="exact"/>
        <w:rPr>
          <w:rFonts w:ascii="arial" w:eastAsia="arial" w:hAnsi="arial" w:cs="arial"/>
          <w:sz w:val="20"/>
          <w:lang w:val="en-US" w:eastAsia="en-US" w:bidi="ar-SA"/>
        </w:rPr>
      </w:pPr>
      <w:r>
        <w:pict>
          <v:line id="_x0000_s1029" style="position:absolute;z-index:251661312" from="0,2pt" to="512pt,2pt" strokecolor="#009ddb" strokeweight="2pt">
            <v:stroke linestyle="single"/>
            <w10:wrap type="topAndBottom"/>
          </v:line>
        </w:pict>
      </w:r>
    </w:p>
    <w:p>
      <w:pPr>
        <w:rPr>
          <w:rFonts w:ascii="arial" w:eastAsia="arial" w:hAnsi="arial" w:cs="arial"/>
          <w:sz w:val="20"/>
          <w:lang w:val="en-US" w:eastAsia="en-US" w:bidi="ar-SA"/>
        </w:rPr>
      </w:pP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left"/>
        <w:rPr>
          <w:rFonts w:ascii="arial" w:eastAsia="arial" w:hAnsi="arial" w:cs="arial"/>
          <w:sz w:val="20"/>
          <w:lang w:val="en-US" w:eastAsia="en-US" w:bidi="ar-SA"/>
        </w:rPr>
      </w:pPr>
      <w:r>
        <w:rPr>
          <w:rFonts w:ascii="arial" w:eastAsia="arial" w:hAnsi="arial" w:cs="arial"/>
          <w:b/>
          <w:color w:val="000000"/>
          <w:sz w:val="20"/>
          <w:lang w:val="en-US" w:eastAsia="en-US" w:bidi="ar-SA"/>
        </w:rPr>
        <w:t>Attorney General Opinions.</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240" w:after="0" w:line="260" w:lineRule="atLeast"/>
        <w:ind w:left="0" w:right="0" w:firstLine="0"/>
        <w:jc w:val="both"/>
        <w:rPr>
          <w:rFonts w:ascii="arial" w:eastAsia="arial" w:hAnsi="arial" w:cs="arial"/>
          <w:sz w:val="20"/>
          <w:lang w:val="en-US" w:eastAsia="en-US" w:bidi="ar-SA"/>
        </w:rPr>
      </w:pPr>
      <w:r>
        <w:rPr>
          <w:rFonts w:ascii="arial" w:eastAsia="arial" w:hAnsi="arial" w:cs="arial"/>
          <w:color w:val="000000"/>
          <w:sz w:val="20"/>
          <w:lang w:val="en-US" w:eastAsia="en-US" w:bidi="ar-SA"/>
        </w:rPr>
        <w:t xml:space="preserve">Corporate contributions to political action committees under </w:t>
      </w:r>
      <w:hyperlink r:id="rId21" w:history="1">
        <w:r>
          <w:rPr>
            <w:rFonts w:ascii="arial" w:eastAsia="arial" w:hAnsi="arial" w:cs="arial"/>
            <w:i/>
            <w:color w:val="0077CC"/>
            <w:sz w:val="20"/>
            <w:u w:val="single"/>
            <w:shd w:val="clear" w:color="auto" w:fill="FFFFFF"/>
            <w:lang w:val="en-US" w:eastAsia="en-US" w:bidi="ar-SA"/>
          </w:rPr>
          <w:t>Acts 2010, ch. 1095</w:t>
        </w:r>
      </w:hyperlink>
      <w:r>
        <w:rPr>
          <w:rFonts w:ascii="arial" w:eastAsia="arial" w:hAnsi="arial" w:cs="arial"/>
          <w:color w:val="000000"/>
          <w:sz w:val="20"/>
          <w:lang w:val="en-US" w:eastAsia="en-US" w:bidi="ar-SA"/>
        </w:rPr>
        <w:t xml:space="preserve">. OAG 11-7, </w:t>
      </w:r>
      <w:hyperlink r:id="rId23" w:history="1">
        <w:r>
          <w:rPr>
            <w:rFonts w:ascii="arial" w:eastAsia="arial" w:hAnsi="arial" w:cs="arial"/>
            <w:i/>
            <w:color w:val="0077CC"/>
            <w:sz w:val="20"/>
            <w:u w:val="single"/>
            <w:shd w:val="clear" w:color="auto" w:fill="FFFFFF"/>
            <w:lang w:val="en-US" w:eastAsia="en-US" w:bidi="ar-SA"/>
          </w:rPr>
          <w:t>2011 Tenn. AG LEXIS 7 (1/12/11)</w:t>
        </w:r>
      </w:hyperlink>
      <w:r>
        <w:rPr>
          <w:rFonts w:ascii="arial" w:eastAsia="arial" w:hAnsi="arial" w:cs="arial"/>
          <w:color w:val="000000"/>
          <w:sz w:val="20"/>
          <w:lang w:val="en-US" w:eastAsia="en-US" w:bidi="ar-SA"/>
        </w:rPr>
        <w:t>.</w:t>
      </w:r>
    </w:p>
    <w:p>
      <w:pPr>
        <w:keepNext w:val="0"/>
        <w:spacing w:before="120" w:after="0" w:line="260" w:lineRule="atLeast"/>
        <w:ind w:left="0" w:right="0" w:firstLine="0"/>
        <w:jc w:val="left"/>
        <w:rPr>
          <w:rFonts w:ascii="arial" w:eastAsia="arial" w:hAnsi="arial" w:cs="arial"/>
          <w:sz w:val="20"/>
          <w:lang w:val="en-US" w:eastAsia="en-US" w:bidi="ar-SA"/>
        </w:rPr>
      </w:pPr>
      <w:r>
        <w:rPr>
          <w:rFonts w:ascii="arial" w:eastAsia="arial" w:hAnsi="arial" w:cs="arial"/>
          <w:color w:val="000000"/>
          <w:sz w:val="20"/>
          <w:lang w:val="en-US" w:eastAsia="en-US" w:bidi="ar-SA"/>
        </w:rPr>
        <w:t xml:space="preserve">                                                                                 </w:t>
      </w:r>
    </w:p>
    <w:p>
      <w:pPr>
        <w:keepNext w:val="0"/>
        <w:spacing w:before="120" w:after="0" w:line="220" w:lineRule="atLeast"/>
        <w:ind w:left="0" w:right="0" w:firstLine="0"/>
        <w:jc w:val="left"/>
        <w:rPr>
          <w:rFonts w:ascii="arial" w:eastAsia="arial" w:hAnsi="arial" w:cs="arial"/>
          <w:sz w:val="20"/>
          <w:lang w:val="en-US" w:eastAsia="en-US" w:bidi="ar-SA"/>
        </w:rPr>
      </w:pPr>
      <w:r>
        <w:rPr>
          <w:rFonts w:ascii="arial" w:eastAsia="arial" w:hAnsi="arial" w:cs="arial"/>
          <w:sz w:val="20"/>
          <w:lang w:val="en-US" w:eastAsia="en-US" w:bidi="ar-SA"/>
        </w:rPr>
        <w:br/>
      </w:r>
      <w:r>
        <w:rPr>
          <w:rFonts w:ascii="arial" w:eastAsia="arial" w:hAnsi="arial" w:cs="arial"/>
          <w:color w:val="000000"/>
          <w:sz w:val="16"/>
          <w:lang w:val="en-US" w:eastAsia="en-US" w:bidi="ar-SA"/>
        </w:rPr>
        <w:t>TENNESSEE CODE ANNOTATED</w:t>
      </w:r>
    </w:p>
    <w:p>
      <w:pPr>
        <w:keepNext w:val="0"/>
        <w:spacing w:after="0" w:line="220" w:lineRule="atLeast"/>
        <w:ind w:left="0" w:right="0" w:firstLine="0"/>
        <w:jc w:val="left"/>
        <w:rPr>
          <w:rFonts w:ascii="arial" w:eastAsia="arial" w:hAnsi="arial" w:cs="arial"/>
          <w:sz w:val="20"/>
          <w:lang w:val="en-US" w:eastAsia="en-US" w:bidi="ar-SA"/>
        </w:rPr>
      </w:pPr>
      <w:r>
        <w:rPr>
          <w:rFonts w:ascii="arial" w:eastAsia="arial" w:hAnsi="arial" w:cs="arial"/>
          <w:color w:val="000000"/>
          <w:sz w:val="16"/>
          <w:lang w:val="en-US" w:eastAsia="en-US" w:bidi="ar-SA"/>
        </w:rPr>
        <w:t>Copyright © 2022 by The State of Tennessee All rights reserved</w:t>
      </w:r>
    </w:p>
    <w:p>
      <w:pPr>
        <w:rPr>
          <w:rFonts w:ascii="arial" w:eastAsia="arial" w:hAnsi="arial" w:cs="arial"/>
          <w:sz w:val="20"/>
          <w:lang w:val="en-US" w:eastAsia="en-US" w:bidi="ar-SA"/>
        </w:rPr>
      </w:pPr>
    </w:p>
    <w:p>
      <w:pPr>
        <w:ind w:left="200"/>
        <w:rPr>
          <w:rFonts w:ascii="arial" w:eastAsia="arial" w:hAnsi="arial" w:cs="arial"/>
          <w:sz w:val="20"/>
          <w:lang w:val="en-US" w:eastAsia="en-US" w:bidi="ar-SA"/>
        </w:rPr>
      </w:pPr>
      <w:r>
        <w:rPr>
          <w:rFonts w:ascii="arial" w:eastAsia="arial" w:hAnsi="arial" w:cs="arial"/>
          <w:sz w:val="20"/>
          <w:lang w:val="en-US" w:eastAsia="en-US" w:bidi="ar-SA"/>
        </w:rPr>
        <w:br/>
      </w:r>
      <w:r>
        <w:pict>
          <v:line id="_x0000_s1030" style="position:absolute;z-index:251662336" from="0,10pt" to="512pt,10pt" strokecolor="black" strokeweight="1pt">
            <v:stroke linestyle="single"/>
          </v:line>
        </w:pict>
      </w:r>
      <w:r>
        <w:rPr>
          <w:rFonts w:ascii="arial" w:eastAsia="arial" w:hAnsi="arial" w:cs="arial"/>
          <w:b/>
          <w:color w:val="767676"/>
          <w:sz w:val="16"/>
          <w:lang w:val="en-US" w:eastAsia="en-US" w:bidi="ar-SA"/>
        </w:rPr>
        <w:t>End of Document</w:t>
      </w:r>
    </w:p>
    <w:sectPr>
      <w:type w:val="continuous"/>
      <w:pgMar w:top="840" w:right="1000" w:bottom="840" w:left="1000" w:header="400" w:footer="400"/>
      <w:pgNumType w:fmt="decimal"/>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Normal"/>
      <w:tblW w:w="10240" w:type="dxa"/>
      <w:jc w:val="center"/>
      <w:shd w:val="solid" w:color="000000" w:fill="000000"/>
      <w:tblLayout w:type="fixed"/>
      <w:tblCellMar>
        <w:left w:w="108" w:type="dxa"/>
        <w:right w:w="108" w:type="dxa"/>
      </w:tblCellMar>
    </w:tblPr>
    <w:tblGrid>
      <w:gridCol w:w="10240"/>
    </w:tblGrid>
    <w:tr>
      <w:tblPrEx>
        <w:tblW w:w="10240" w:type="dxa"/>
        <w:jc w:val="center"/>
        <w:shd w:val="solid" w:color="000000" w:fill="000000"/>
        <w:tblLayout w:type="fixed"/>
        <w:tblCellMar>
          <w:left w:w="108" w:type="dxa"/>
          <w:right w:w="108" w:type="dxa"/>
        </w:tblCellMar>
      </w:tblPrEx>
      <w:trPr>
        <w:trHeight w:val="15"/>
        <w:jc w:val="center"/>
      </w:trPr>
      <w:tc>
        <w:tcPr>
          <w:tcW w:w="10240" w:type="dxa"/>
          <w:shd w:val="solid" w:color="000000" w:fill="000000"/>
        </w:tcPr>
        <w:p>
          <w:pPr>
            <w:keepNext w:val="0"/>
            <w:spacing w:after="0" w:line="40" w:lineRule="exact"/>
            <w:ind w:left="0" w:right="0" w:firstLine="0"/>
            <w:jc w:val="both"/>
          </w:pPr>
        </w:p>
      </w:tc>
    </w:tr>
  </w:tbl>
  <w:p>
    <w:pPr>
      <w:keepNext w:val="0"/>
      <w:spacing w:after="0" w:line="40" w:lineRule="exact"/>
      <w:ind w:left="0" w:right="0" w:firstLine="0"/>
      <w:jc w:val="both"/>
    </w:pPr>
  </w:p>
  <w:tbl>
    <w:tblPr>
      <w:tblStyle w:val="TableNormal"/>
      <w:tblW w:w="10240" w:type="dxa"/>
      <w:jc w:val="center"/>
      <w:tblLayout w:type="fixed"/>
      <w:tblCellMar>
        <w:left w:w="108" w:type="dxa"/>
        <w:right w:w="108" w:type="dxa"/>
      </w:tblCellMar>
    </w:tblPr>
    <w:tblGrid>
      <w:gridCol w:w="10240"/>
    </w:tblGrid>
    <w:tr>
      <w:tblPrEx>
        <w:tblW w:w="10240" w:type="dxa"/>
        <w:jc w:val="center"/>
        <w:tblLayout w:type="fixed"/>
        <w:tblCellMar>
          <w:left w:w="108" w:type="dxa"/>
          <w:right w:w="108" w:type="dxa"/>
        </w:tblCellMar>
      </w:tblPrEx>
      <w:trPr>
        <w:trHeight w:val="480"/>
        <w:jc w:val="center"/>
      </w:trPr>
      <w:tc>
        <w:tcPr>
          <w:tcW w:w="10240" w:type="dxa"/>
          <w:vAlign w:val="center"/>
        </w:tcPr>
        <w:p>
          <w:pPr>
            <w:keepNext w:val="0"/>
            <w:spacing w:after="0" w:line="260" w:lineRule="atLeast"/>
            <w:ind w:left="0" w:right="0"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49" type="#_x0000_t75" style="width:68.25pt;height:15.75pt">
                <v:imagedata r:id="rId1" o:title=""/>
              </v:shape>
            </w:pict>
          </w:r>
          <w:r>
            <w:rPr>
              <w:rFonts w:ascii="Arial" w:eastAsia="Arial" w:hAnsi="Arial" w:cs="Arial"/>
              <w:b w:val="0"/>
              <w:i w:val="0"/>
              <w:strike w:val="0"/>
              <w:noProof w:val="0"/>
              <w:color w:val="000000"/>
              <w:position w:val="10"/>
              <w:sz w:val="18"/>
              <w:u w:val="none"/>
              <w:vertAlign w:val="baseline"/>
            </w:rPr>
            <w:t xml:space="preserve">| </w:t>
          </w:r>
          <w:hyperlink r:id="rId2" w:history="1">
            <w:r>
              <w:rPr>
                <w:rFonts w:ascii="Arial" w:eastAsia="Arial" w:hAnsi="Arial" w:cs="Arial"/>
                <w:b w:val="0"/>
                <w:i w:val="0"/>
                <w:strike w:val="0"/>
                <w:noProof w:val="0"/>
                <w:color w:val="0077CC"/>
                <w:position w:val="10"/>
                <w:sz w:val="18"/>
                <w:u w:val="single"/>
                <w:shd w:val="clear" w:color="auto" w:fill="auto"/>
                <w:vertAlign w:val="baseline"/>
              </w:rPr>
              <w:t>About LexisNexis</w:t>
            </w:r>
          </w:hyperlink>
          <w:r>
            <w:rPr>
              <w:rFonts w:ascii="Arial" w:eastAsia="Arial" w:hAnsi="Arial" w:cs="Arial"/>
              <w:b w:val="0"/>
              <w:i w:val="0"/>
              <w:strike w:val="0"/>
              <w:noProof w:val="0"/>
              <w:color w:val="000000"/>
              <w:position w:val="10"/>
              <w:sz w:val="18"/>
              <w:u w:val="none"/>
              <w:vertAlign w:val="baseline"/>
            </w:rPr>
            <w:t xml:space="preserve"> | </w:t>
          </w:r>
          <w:hyperlink r:id="rId3" w:history="1">
            <w:r>
              <w:rPr>
                <w:rFonts w:ascii="Arial" w:eastAsia="Arial" w:hAnsi="Arial" w:cs="Arial"/>
                <w:b w:val="0"/>
                <w:i w:val="0"/>
                <w:strike w:val="0"/>
                <w:noProof w:val="0"/>
                <w:color w:val="0077CC"/>
                <w:position w:val="10"/>
                <w:sz w:val="18"/>
                <w:u w:val="single"/>
                <w:shd w:val="clear" w:color="auto" w:fill="auto"/>
                <w:vertAlign w:val="baseline"/>
              </w:rPr>
              <w:t>Privacy Policy</w:t>
            </w:r>
          </w:hyperlink>
          <w:r>
            <w:rPr>
              <w:rFonts w:ascii="Arial" w:eastAsia="Arial" w:hAnsi="Arial" w:cs="Arial"/>
              <w:b w:val="0"/>
              <w:i w:val="0"/>
              <w:strike w:val="0"/>
              <w:noProof w:val="0"/>
              <w:color w:val="000000"/>
              <w:position w:val="10"/>
              <w:sz w:val="18"/>
              <w:u w:val="none"/>
              <w:vertAlign w:val="baseline"/>
            </w:rPr>
            <w:t xml:space="preserve"> | </w:t>
          </w:r>
          <w:hyperlink r:id="rId4" w:history="1">
            <w:r>
              <w:rPr>
                <w:rFonts w:ascii="Arial" w:eastAsia="Arial" w:hAnsi="Arial" w:cs="Arial"/>
                <w:b w:val="0"/>
                <w:i w:val="0"/>
                <w:strike w:val="0"/>
                <w:noProof w:val="0"/>
                <w:color w:val="0077CC"/>
                <w:position w:val="10"/>
                <w:sz w:val="18"/>
                <w:u w:val="single"/>
                <w:shd w:val="clear" w:color="auto" w:fill="auto"/>
                <w:vertAlign w:val="baseline"/>
              </w:rPr>
              <w:t>Terms &amp; Conditions</w:t>
            </w:r>
          </w:hyperlink>
          <w:r>
            <w:rPr>
              <w:rFonts w:ascii="Arial" w:eastAsia="Arial" w:hAnsi="Arial" w:cs="Arial"/>
              <w:b w:val="0"/>
              <w:i w:val="0"/>
              <w:strike w:val="0"/>
              <w:noProof w:val="0"/>
              <w:color w:val="000000"/>
              <w:position w:val="10"/>
              <w:sz w:val="18"/>
              <w:u w:val="none"/>
              <w:vertAlign w:val="baseline"/>
            </w:rPr>
            <w:t xml:space="preserve"> | </w:t>
          </w:r>
          <w:hyperlink r:id="rId5" w:history="1">
            <w:r>
              <w:rPr>
                <w:rFonts w:ascii="Arial" w:eastAsia="Arial" w:hAnsi="Arial" w:cs="Arial"/>
                <w:b w:val="0"/>
                <w:i w:val="0"/>
                <w:strike w:val="0"/>
                <w:noProof w:val="0"/>
                <w:color w:val="0077CC"/>
                <w:position w:val="10"/>
                <w:sz w:val="18"/>
                <w:u w:val="single"/>
                <w:shd w:val="clear" w:color="auto" w:fill="auto"/>
                <w:vertAlign w:val="baseline"/>
              </w:rPr>
              <w:t>Copyright © 2022 LexisNexis</w:t>
            </w:r>
          </w:hyperlink>
        </w:p>
      </w:tc>
    </w:tr>
    <w:tr>
      <w:tblPrEx>
        <w:tblW w:w="10240" w:type="dxa"/>
        <w:jc w:val="center"/>
        <w:tblLayout w:type="fixed"/>
        <w:tblCellMar>
          <w:left w:w="108" w:type="dxa"/>
          <w:right w:w="108" w:type="dxa"/>
        </w:tblCellMar>
      </w:tblPrEx>
      <w:trPr>
        <w:trHeight w:val="620"/>
        <w:jc w:val="center"/>
      </w:trPr>
      <w:tc>
        <w:tcPr>
          <w:tcW w:w="10240" w:type="dxa"/>
          <w:vAlign w:val="top"/>
        </w:tcPr>
        <w:p>
          <w:pPr>
            <w:keepNext w:val="0"/>
            <w:spacing w:after="0" w:line="260" w:lineRule="atLeast"/>
            <w:ind w:left="0" w:right="0" w:firstLine="0"/>
            <w:jc w:val="center"/>
          </w:pPr>
          <w:r>
            <w:rPr>
              <w:rFonts w:ascii="Arial" w:eastAsia="Arial" w:hAnsi="Arial" w:cs="Arial"/>
              <w:b w:val="0"/>
              <w:i w:val="0"/>
              <w:strike w:val="0"/>
              <w:noProof w:val="0"/>
              <w:color w:val="000000"/>
              <w:position w:val="10"/>
              <w:sz w:val="18"/>
              <w:u w:val="none"/>
              <w:vertAlign w:val="baseline"/>
            </w:rPr>
            <w:t>Lloyd Crawford</w:t>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Normal"/>
      <w:tblW w:w="10080" w:type="dxa"/>
      <w:jc w:val="center"/>
      <w:tblBorders>
        <w:top w:val="nil"/>
        <w:left w:val="nil"/>
        <w:bottom w:val="nil"/>
        <w:right w:val="nil"/>
        <w:insideH w:val="nil"/>
        <w:insideV w:val="nil"/>
      </w:tblBorders>
      <w:tblLayout w:type="fixed"/>
      <w:tblCellMar>
        <w:left w:w="108" w:type="dxa"/>
        <w:right w:w="108" w:type="dxa"/>
      </w:tblCellMar>
    </w:tblPr>
    <w:tblGrid>
      <w:gridCol w:w="2600"/>
      <w:gridCol w:w="4880"/>
      <w:gridCol w:w="2600"/>
    </w:tblGrid>
    <w:tr>
      <w:tblPrEx>
        <w:tblW w:w="10080" w:type="dxa"/>
        <w:jc w:val="center"/>
        <w:tblBorders>
          <w:top w:val="nil"/>
          <w:left w:val="nil"/>
          <w:bottom w:val="nil"/>
          <w:right w:val="nil"/>
          <w:insideH w:val="nil"/>
          <w:insideV w:val="nil"/>
        </w:tblBorders>
        <w:tblLayout w:type="fixed"/>
        <w:tblCellMar>
          <w:left w:w="108" w:type="dxa"/>
          <w:right w:w="108" w:type="dxa"/>
        </w:tblCellMar>
      </w:tblPrEx>
      <w:trPr>
        <w:jc w:val="center"/>
      </w:trPr>
      <w:tc>
        <w:tcPr>
          <w:tcW w:w="2600" w:type="dxa"/>
          <w:tcMar>
            <w:top w:w="200" w:type="dxa"/>
          </w:tcMar>
          <w:vAlign w:val="center"/>
        </w:tcPr>
        <w:p/>
      </w:tc>
      <w:tc>
        <w:tcPr>
          <w:tcW w:w="4880" w:type="dxa"/>
          <w:tcMar>
            <w:top w:w="200" w:type="dxa"/>
          </w:tcMar>
          <w:vAlign w:val="center"/>
        </w:tcPr>
        <w:p>
          <w:pPr>
            <w:jc w:val="center"/>
          </w:pPr>
          <w:r>
            <w:rPr>
              <w:rFonts w:ascii="arial" w:eastAsia="arial" w:hAnsi="arial" w:cs="arial"/>
              <w:sz w:val="20"/>
            </w:rPr>
            <w:t>Lloyd Crawford</w:t>
          </w:r>
        </w:p>
      </w:tc>
      <w:tc>
        <w:tcPr>
          <w:tcW w:w="2600" w:type="dxa"/>
          <w:tcMar>
            <w:top w:w="200" w:type="dxa"/>
          </w:tcMar>
          <w:vAlign w:val="center"/>
        </w:tcPr>
        <w:p/>
      </w:tc>
    </w:tr>
  </w:tbl>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200"/>
      <w:jc w:val="center"/>
    </w:pPr>
    <w:r>
      <w:rPr>
        <w:rFonts w:ascii="arial" w:eastAsia="arial" w:hAnsi="arial" w:cs="arial"/>
        <w:sz w:val="20"/>
      </w:rPr>
      <w:t>Lloyd Crawford</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Normal"/>
      <w:tblW w:w="10080" w:type="dxa"/>
      <w:jc w:val="center"/>
      <w:tblBorders>
        <w:top w:val="nil"/>
        <w:left w:val="nil"/>
        <w:bottom w:val="nil"/>
        <w:right w:val="nil"/>
        <w:insideH w:val="nil"/>
        <w:insideV w:val="nil"/>
      </w:tblBorders>
      <w:tblLayout w:type="fixed"/>
      <w:tblCellMar>
        <w:left w:w="108" w:type="dxa"/>
        <w:right w:w="108" w:type="dxa"/>
      </w:tblCellMar>
    </w:tblPr>
    <w:tblGrid>
      <w:gridCol w:w="10080"/>
    </w:tblGrid>
    <w:tr>
      <w:tblPrEx>
        <w:tblW w:w="10080" w:type="dxa"/>
        <w:jc w:val="center"/>
        <w:tblBorders>
          <w:top w:val="nil"/>
          <w:left w:val="nil"/>
          <w:bottom w:val="nil"/>
          <w:right w:val="nil"/>
          <w:insideH w:val="nil"/>
          <w:insideV w:val="nil"/>
        </w:tblBorders>
        <w:tblLayout w:type="fixed"/>
        <w:tblCellMar>
          <w:left w:w="108" w:type="dxa"/>
          <w:right w:w="108" w:type="dxa"/>
        </w:tblCellMar>
      </w:tblPrEx>
      <w:trPr>
        <w:jc w:val="center"/>
      </w:trPr>
      <w:tc>
        <w:tcPr>
          <w:tcW w:w="10080" w:type="dxa"/>
          <w:vAlign w:val="center"/>
        </w:tcPr>
        <w:p>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sz w:val="20"/>
            </w:rPr>
            <w:fldChar w:fldCharType="end"/>
          </w:r>
        </w:p>
      </w:tc>
    </w:tr>
    <w:tr>
      <w:tblPrEx>
        <w:tblW w:w="10080" w:type="dxa"/>
        <w:jc w:val="center"/>
        <w:tblLayout w:type="fixed"/>
        <w:tblCellMar>
          <w:left w:w="108" w:type="dxa"/>
          <w:right w:w="108" w:type="dxa"/>
        </w:tblCellMar>
      </w:tblPrEx>
      <w:trPr>
        <w:jc w:val="center"/>
      </w:trPr>
      <w:tc>
        <w:tcPr>
          <w:tcW w:w="10080" w:type="dxa"/>
        </w:tcPr>
        <w:p>
          <w:pPr>
            <w:spacing w:before="60" w:after="200"/>
            <w:jc w:val="center"/>
          </w:pPr>
          <w:r>
            <w:rPr>
              <w:rFonts w:ascii="arial" w:eastAsia="arial" w:hAnsi="arial" w:cs="arial"/>
              <w:sz w:val="20"/>
            </w:rPr>
            <w:t>Tenn. Code Ann. § 2-10-132</w:t>
          </w:r>
        </w:p>
      </w:tc>
    </w:tr>
  </w:tbl>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eastAsia="arial" w:hAnsi="Arial" w:cs="Arial"/>
      <w:b/>
      <w:bCs/>
      <w:kern w:val="32"/>
      <w:sz w:val="32"/>
      <w:szCs w:val="32"/>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4.xml" /><Relationship Id="rId15" Type="http://schemas.openxmlformats.org/officeDocument/2006/relationships/footer" Target="footer5.xml" /><Relationship Id="rId16" Type="http://schemas.openxmlformats.org/officeDocument/2006/relationships/header" Target="header6.xml" /><Relationship Id="rId17" Type="http://schemas.openxmlformats.org/officeDocument/2006/relationships/footer" Target="footer6.xml" /><Relationship Id="rId18" Type="http://schemas.openxmlformats.org/officeDocument/2006/relationships/hyperlink" Target="https://plus.lexis.com/api/document?collection=statutes-legislation&amp;id=urn:contentItem:50KN-3TS0-R03N-705X-00000-00&amp;context=1530671" TargetMode="External" /><Relationship Id="rId19" Type="http://schemas.openxmlformats.org/officeDocument/2006/relationships/hyperlink" Target="https://plus.lexis.com/api/document?collection=statutes-legislation&amp;id=urn:contentItem:4X14-8GD0-R03K-T06D-00000-00&amp;context=1530671" TargetMode="External" /><Relationship Id="rId2" Type="http://schemas.openxmlformats.org/officeDocument/2006/relationships/webSettings" Target="webSettings.xml" /><Relationship Id="rId20" Type="http://schemas.openxmlformats.org/officeDocument/2006/relationships/hyperlink" Target="https://plus.lexis.com/api/document?collection=statutes-legislation&amp;id=urn:contentItem:5Y1J-8X23-CH1B-T55H-00000-00&amp;context=1530671" TargetMode="External" /><Relationship Id="rId21" Type="http://schemas.openxmlformats.org/officeDocument/2006/relationships/hyperlink" Target="https://plus.lexis.com/api/document?collection=statutes-legislation&amp;id=urn:contentItem:50DH-KSJ0-002X-50F0-00000-00&amp;context=1530671" TargetMode="External" /><Relationship Id="rId22" Type="http://schemas.openxmlformats.org/officeDocument/2006/relationships/hyperlink" Target="https://plus.lexis.com/api/document?collection=statutes-legislation&amp;id=urn:contentItem:65KY-9RK1-K0HK-231D-00000-00&amp;context=1530671" TargetMode="External" /><Relationship Id="rId23" Type="http://schemas.openxmlformats.org/officeDocument/2006/relationships/hyperlink" Target="https://plus.lexis.com/api/document?collection=administrative-materials&amp;id=urn:contentItem:5229-8M60-003Y-Y2GH-00000-00&amp;context=1530671" TargetMode="External" /><Relationship Id="rId24" Type="http://schemas.openxmlformats.org/officeDocument/2006/relationships/theme" Target="theme/theme1.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plus.lexis.com/api/document?id=urn:contentItem:50KN-3TS0-R03N-705X-00000-00&amp;idtype=PID&amp;context=1530671"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2.xml.rels><?xml version="1.0" encoding="utf-8" standalone="yes"?><Relationships xmlns="http://schemas.openxmlformats.org/package/2006/relationships"><Relationship Id="rId1" Type="http://schemas.openxmlformats.org/officeDocument/2006/relationships/image" Target="media/image2.jpeg" /><Relationship Id="rId2" Type="http://schemas.openxmlformats.org/officeDocument/2006/relationships/hyperlink" Target="http://www.lexisnexis.com/about-us/" TargetMode="External" /><Relationship Id="rId3" Type="http://schemas.openxmlformats.org/officeDocument/2006/relationships/hyperlink" Target="http://www.lexisnexis.com/en-us/terms/privacy-policy.page" TargetMode="External" /><Relationship Id="rId4" Type="http://schemas.openxmlformats.org/officeDocument/2006/relationships/hyperlink" Target="http://www.lexisnexis.com/terms/general.aspx" TargetMode="External" /><Relationship Id="rId5" Type="http://schemas.openxmlformats.org/officeDocument/2006/relationships/hyperlink" Target="http://www.lexisnexis.com/terms/copyright.asp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 Code Ann. § 2-10-132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179442915</vt:lpwstr>
  </property>
  <property fmtid="{D5CDD505-2E9C-101B-9397-08002B2CF9AE}" pid="3" name="LADocCount">
    <vt:i4>2</vt:i4>
  </property>
  <property fmtid="{D5CDD505-2E9C-101B-9397-08002B2CF9AE}" pid="4" name="UserPermID">
    <vt:lpwstr>urn:user:PA185080234</vt:lpwstr>
  </property>
</Properties>
</file>